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仿宋_GB2312" w:hAnsi="黑体" w:eastAsia="仿宋_GB2312" w:cs="宋体"/>
          <w:b w:val="0"/>
          <w:bCs w:val="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 w:val="0"/>
          <w:bCs w:val="0"/>
          <w:kern w:val="0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b w:val="0"/>
          <w:bCs w:val="0"/>
          <w:kern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t>全国机械行业技工院校“世赛资源转化与机电类专业创新建设”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研讨会参会报名回执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top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职称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top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40" w:type="dxa"/>
            <w:vMerge w:val="continue"/>
            <w:vAlign w:val="top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单位名称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ind w:firstLine="43" w:firstLineChars="18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top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ascii="仿宋_GB2312" w:hAnsi="Arial" w:eastAsia="仿宋_GB2312" w:cs="Arial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ascii="仿宋_GB2312" w:hAnsi="Arial" w:eastAsia="仿宋_GB2312" w:cs="Arial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  <w:t>拟参加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  <w:t>协作组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□数控车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数控铣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□制造团队挑战赛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□机械设计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CAD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□塑料模具工程□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原型制作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综合机械与自动化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工业机械装调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移动机器人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机电一体化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□电气装置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工业控制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电子技术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制冷与空调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□建筑金属构造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焊接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□车身修理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□汽车技术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□汽车喷漆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重型车辆维修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智能制造技术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数控多轴加工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产品检测与质量控制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□3D打印技术应用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工业机器人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□新能源汽车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□数控机床装调与维修□数字化设计与制造</w:t>
            </w:r>
          </w:p>
          <w:p>
            <w:pPr>
              <w:jc w:val="both"/>
              <w:rPr>
                <w:rFonts w:hint="eastAsia" w:ascii="仿宋_GB2312" w:hAnsi="Arial" w:eastAsia="仿宋_GB2312" w:cs="Arial"/>
                <w:sz w:val="24"/>
                <w:lang w:val="en-US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合住标准间      □单间标准间     □清真饮食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返程航班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pStyle w:val="5"/>
              <w:jc w:val="both"/>
              <w:rPr>
                <w:rFonts w:ascii="仿宋_GB2312" w:hAnsi="Arial" w:eastAsia="仿宋_GB2312" w:cs="Arial"/>
                <w:bCs/>
                <w:color w:val="FF6600"/>
                <w:spacing w:val="-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注：1.拟参加专业建设协作组每人限选两个。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instrText xml:space="preserve"> HYPERLINK "mailto:请于2018年7月6日前以电子邮件方式发送至zyh2686@126.cm。" </w:instrTex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请于2018年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7月27日前以电子邮件形式发送至指定邮箱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instrText xml:space="preserve"> HYPERLINK "mailto:414368951@qq.com" </w:instrTex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414368951@qq.com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，并抄送至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instrText xml:space="preserve">HYPERLINK "mailto:jixujiaoyu4895@126.com"</w:instrTex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jigongjiaoyu4895@126.com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2020-06-01T09:51:11Z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