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rPr>
          <w:rFonts w:hint="eastAsia" w:ascii="仿宋_GB2312" w:hAnsi="黑体" w:eastAsia="仿宋_GB2312" w:cs="宋体"/>
          <w:b w:val="0"/>
          <w:bCs w:val="0"/>
          <w:kern w:val="0"/>
          <w:sz w:val="30"/>
          <w:szCs w:val="30"/>
          <w:lang w:val="en-US" w:eastAsia="zh-CN"/>
        </w:rPr>
      </w:pPr>
      <w:r>
        <w:rPr>
          <w:rFonts w:hint="eastAsia" w:ascii="仿宋_GB2312" w:hAnsi="黑体" w:eastAsia="仿宋_GB2312" w:cs="宋体"/>
          <w:b w:val="0"/>
          <w:bCs w:val="0"/>
          <w:kern w:val="0"/>
          <w:sz w:val="30"/>
          <w:szCs w:val="30"/>
          <w:lang w:eastAsia="zh-CN"/>
        </w:rPr>
        <w:t>附件</w:t>
      </w:r>
      <w:r>
        <w:rPr>
          <w:rFonts w:hint="eastAsia" w:ascii="仿宋_GB2312" w:hAnsi="黑体" w:eastAsia="仿宋_GB2312" w:cs="宋体"/>
          <w:b w:val="0"/>
          <w:bCs w:val="0"/>
          <w:kern w:val="0"/>
          <w:sz w:val="30"/>
          <w:szCs w:val="30"/>
          <w:lang w:val="en-US" w:eastAsia="zh-CN"/>
        </w:rPr>
        <w:t>1</w:t>
      </w:r>
    </w:p>
    <w:p>
      <w:pPr>
        <w:widowControl/>
        <w:spacing w:line="570" w:lineRule="exact"/>
        <w:rPr>
          <w:rFonts w:hint="eastAsia" w:ascii="仿宋_GB2312" w:hAnsi="黑体" w:eastAsia="仿宋_GB2312" w:cs="宋体"/>
          <w:b w:val="0"/>
          <w:bCs w:val="0"/>
          <w:kern w:val="0"/>
          <w:sz w:val="30"/>
          <w:szCs w:val="30"/>
          <w:lang w:val="en-US" w:eastAsia="zh-CN"/>
        </w:rPr>
      </w:pPr>
    </w:p>
    <w:p>
      <w:pPr>
        <w:jc w:val="center"/>
        <w:rPr>
          <w:rFonts w:hint="eastAsia" w:ascii="方正小标宋_GBK" w:hAnsi="方正小标宋_GBK" w:eastAsia="方正小标宋_GBK" w:cs="方正小标宋_GBK"/>
          <w:kern w:val="0"/>
          <w:sz w:val="36"/>
          <w:szCs w:val="36"/>
          <w:lang w:eastAsia="zh-CN"/>
        </w:rPr>
      </w:pPr>
      <w:r>
        <w:rPr>
          <w:rFonts w:hint="eastAsia" w:ascii="方正小标宋_GBK" w:hAnsi="方正小标宋_GBK" w:eastAsia="方正小标宋_GBK" w:cs="方正小标宋_GBK"/>
          <w:kern w:val="0"/>
          <w:sz w:val="36"/>
          <w:szCs w:val="36"/>
          <w:lang w:eastAsia="zh-CN"/>
        </w:rPr>
        <w:t>会议安排与主要专家介绍</w:t>
      </w:r>
    </w:p>
    <w:p>
      <w:pPr>
        <w:spacing w:line="300" w:lineRule="exact"/>
        <w:ind w:left="210" w:hanging="211" w:hangingChars="100"/>
        <w:rPr>
          <w:rFonts w:hint="eastAsia" w:ascii="仿宋_GB2312" w:hAnsi="仿宋" w:eastAsia="仿宋_GB2312"/>
          <w:b/>
          <w:bCs w:val="0"/>
          <w:szCs w:val="21"/>
          <w:lang w:val="en-US" w:eastAsia="zh-CN"/>
        </w:rPr>
      </w:pPr>
    </w:p>
    <w:p>
      <w:pPr>
        <w:widowControl/>
        <w:spacing w:line="570" w:lineRule="exact"/>
        <w:jc w:val="left"/>
        <w:rPr>
          <w:rFonts w:hint="eastAsia" w:ascii="仿宋_GB2312" w:hAnsi="仿宋_GB2312" w:eastAsia="仿宋_GB2312"/>
          <w:b/>
          <w:bCs/>
          <w:color w:val="auto"/>
          <w:sz w:val="30"/>
          <w:szCs w:val="30"/>
          <w:shd w:val="clear" w:color="auto" w:fill="FFFFFF"/>
          <w:lang w:val="en-US" w:eastAsia="zh-CN"/>
        </w:rPr>
      </w:pPr>
      <w:r>
        <w:rPr>
          <w:rFonts w:hint="eastAsia" w:ascii="仿宋_GB2312" w:hAnsi="仿宋_GB2312" w:eastAsia="仿宋_GB2312"/>
          <w:b/>
          <w:bCs/>
          <w:color w:val="auto"/>
          <w:sz w:val="30"/>
          <w:szCs w:val="30"/>
          <w:shd w:val="clear" w:color="auto" w:fill="FFFFFF"/>
          <w:lang w:val="en-US" w:eastAsia="zh-CN"/>
        </w:rPr>
        <w:t>8月4日：</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报到</w:t>
      </w:r>
    </w:p>
    <w:p>
      <w:pPr>
        <w:widowControl/>
        <w:spacing w:line="570" w:lineRule="exact"/>
        <w:jc w:val="left"/>
        <w:rPr>
          <w:rFonts w:hint="eastAsia" w:ascii="仿宋_GB2312" w:hAnsi="仿宋_GB2312" w:eastAsia="仿宋_GB2312"/>
          <w:b/>
          <w:bCs/>
          <w:color w:val="auto"/>
          <w:sz w:val="30"/>
          <w:szCs w:val="30"/>
          <w:shd w:val="clear" w:color="auto" w:fill="FFFFFF"/>
          <w:lang w:val="en-US" w:eastAsia="zh-CN"/>
        </w:rPr>
      </w:pPr>
      <w:r>
        <w:rPr>
          <w:rFonts w:hint="eastAsia" w:ascii="仿宋_GB2312" w:hAnsi="仿宋_GB2312" w:eastAsia="仿宋_GB2312"/>
          <w:b/>
          <w:bCs/>
          <w:color w:val="auto"/>
          <w:sz w:val="30"/>
          <w:szCs w:val="30"/>
          <w:shd w:val="clear" w:color="auto" w:fill="FFFFFF"/>
          <w:lang w:val="en-US" w:eastAsia="zh-CN"/>
        </w:rPr>
        <w:t>8月5日上午：</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一、领导致辞和讲话</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二、专题报告：新一代智能制造发展战略研究</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延建林，中国工程院战略咨询中心研究员，北京师范大学教育学博士、清华大学人文社会科学学院哲学博士后。主要从事工程科技战略咨询研究与管理，主要方向为产业技术创新。参与中国工程院“制造强国战略研究”、“工业强基战略研究”、“工业技术创新体系建设及发展战略研究”等重大咨询研究项目的研究工作，参与国家工信部《中国制造2025》研究编制、国家制造强国建设专家咨询委员会《中国制造2025系列丛书》组织编写、《中国制造2025》重点领域技术路线图研究和编写等工作。</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三、专题报告：中国制造2025下的人才培养对策与优化</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陈晓明，中国机械工业联合会教育培训部主任、机械工业教育发展中心主任、全国机械职业教育教学指导委员会主任、中国机械工业教育协会副理事长，长期从事行业人才培养管理与研究工作，熟悉机械工业技术发展状况和趋势，倡导产教融合、校企合作和人才培养协同创新，参与、主持国家、行业人才培养规划、人才培养标准编制和资源建设、产教对话等重大项目和活动。2017年被《职业技术教育》杂志评为“我们眼中的亮点▪2016年十大亮点人物”，主持编制多项全国机械行业智能制造领域人才需求调研报告和人才培养方案。</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四、机械行业技工教育重点工作介绍</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（一）2018-2019年机械行业技工教育重点工作项目介绍。</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（二）第八届全国数控技能大赛和第二届全国智能制造应用技术技能大赛技术筹备介绍。</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 xml:space="preserve">（三）成立“全国机械行业高水平技工院校专业建设联盟”及重点专业建设协作组筹备说明。    </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房志凯，中国机械工业联合会教育培训部副主任、机械工业教育发展中心副主任、中国机械工业教育协会副秘书长、全国机械职业教育教学指导委员会产教合作促进与指导委员会主任、人力资源社会保障部职业培训教材工作委员会委员。长期从事机械行业教育管理工作，组织开展了机械行业科技人员继续教育和技能人员技工教育与培训工作。组织编制、主编、研究了机械行业“十二五”、“十三五”人才培养规划和《现代装备制造业技能大师技术技能精粹》以及《高端装备制造业高技能人才培养》、《机械工业升级强基紧缺人才培养模式研究》等重要规划、教材和课题。</w:t>
      </w:r>
    </w:p>
    <w:p>
      <w:pPr>
        <w:widowControl/>
        <w:spacing w:line="570" w:lineRule="exact"/>
        <w:jc w:val="left"/>
        <w:rPr>
          <w:rFonts w:hint="eastAsia" w:ascii="仿宋_GB2312" w:hAnsi="仿宋_GB2312" w:eastAsia="仿宋_GB2312"/>
          <w:b/>
          <w:bCs/>
          <w:color w:val="auto"/>
          <w:sz w:val="30"/>
          <w:szCs w:val="30"/>
          <w:highlight w:val="none"/>
          <w:shd w:val="clear" w:color="auto" w:fill="FFFFFF"/>
          <w:lang w:val="en-US" w:eastAsia="zh-CN"/>
        </w:rPr>
      </w:pPr>
      <w:r>
        <w:rPr>
          <w:rFonts w:hint="eastAsia" w:ascii="仿宋_GB2312" w:hAnsi="仿宋_GB2312" w:eastAsia="仿宋_GB2312"/>
          <w:b/>
          <w:bCs/>
          <w:color w:val="auto"/>
          <w:sz w:val="30"/>
          <w:szCs w:val="30"/>
          <w:highlight w:val="none"/>
          <w:shd w:val="clear" w:color="auto" w:fill="FFFFFF"/>
          <w:lang w:val="en-US" w:eastAsia="zh-CN"/>
        </w:rPr>
        <w:t>8月5日下午：</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一、世界技能大赛和智能制造大赛对技工院校机电类专业创新建设之影响的思考</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宋放之，北京航空航天大学高级工程师，曾担任第41届、第42届、第43届和第44届世界技能大赛数控车项目中国首席技术指导专家和国际裁判。第44届世界技能大赛指导选手获得银牌，第45届世界技能大赛数控车项目全国选拔赛裁判长。</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宋军民，江苏省常州技师学院机械工程系主任，正高级讲师，担任第44届世界技能大赛工业机械装调项目中国首席技术指导专家和国际裁判，指导选手获得金牌，并以全场最高分荣获本届大赛唯一的“阿尔波特.维达尔”奖。第45届世界技能大赛工业机械装调项目全国选拔赛裁判长。</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郑桐，天津职业技术师范大学自动化与电气工程学院电气技术系主任，高级实验师。第42届世界技能大赛移动机器人项目中国队教练组长，第44届世界技能大赛移动机器人项目中国首席技术指导专家和国际裁判，指导选手获得铜牌。第45届世界技能大赛移动机器人项目全国选拔赛裁判长；2017年、2018年机械行业赛移动机器人项目裁判长。</w:t>
      </w:r>
    </w:p>
    <w:p>
      <w:pPr>
        <w:widowControl/>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李晓五，珠海汉迪自动化设备有限公司董事长，高级工程师，2017年中国技能大赛——全国智能制造应用技术技能大赛专家组副组长，专注于机器人及系统集成、智能制造应用开发及数控机床智能化升级改造，具有1000余台机器人应用案例，协助近百所职业院校完成机器人技术及应用、智能制造技术专业建设项目。</w:t>
      </w:r>
    </w:p>
    <w:p>
      <w:pPr>
        <w:widowControl/>
        <w:numPr>
          <w:ilvl w:val="0"/>
          <w:numId w:val="1"/>
        </w:numPr>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技工院校专业建设典型案例交流</w:t>
      </w:r>
    </w:p>
    <w:p>
      <w:pPr>
        <w:widowControl/>
        <w:numPr>
          <w:ilvl w:val="0"/>
          <w:numId w:val="1"/>
        </w:numPr>
        <w:spacing w:line="570" w:lineRule="exact"/>
        <w:ind w:firstLine="6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分组研讨与总结</w:t>
      </w:r>
    </w:p>
    <w:p>
      <w:pPr>
        <w:widowControl/>
        <w:spacing w:line="570" w:lineRule="exact"/>
        <w:jc w:val="left"/>
        <w:rPr>
          <w:rFonts w:hint="eastAsia" w:ascii="仿宋_GB2312" w:hAnsi="仿宋_GB2312" w:eastAsia="仿宋_GB2312"/>
          <w:b/>
          <w:bCs/>
          <w:color w:val="auto"/>
          <w:sz w:val="30"/>
          <w:szCs w:val="30"/>
          <w:shd w:val="clear" w:color="auto" w:fill="FFFFFF"/>
          <w:lang w:val="en-US" w:eastAsia="zh-CN"/>
        </w:rPr>
      </w:pPr>
      <w:r>
        <w:rPr>
          <w:rFonts w:hint="eastAsia" w:ascii="仿宋_GB2312" w:hAnsi="仿宋_GB2312" w:eastAsia="仿宋_GB2312"/>
          <w:b/>
          <w:bCs/>
          <w:color w:val="auto"/>
          <w:sz w:val="30"/>
          <w:szCs w:val="30"/>
          <w:shd w:val="clear" w:color="auto" w:fill="FFFFFF"/>
          <w:lang w:val="en-US" w:eastAsia="zh-CN"/>
        </w:rPr>
        <w:t>8月6日：</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返程</w:t>
      </w:r>
    </w:p>
    <w:p>
      <w:pPr>
        <w:widowControl/>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p>
    <w:p>
      <w:pPr>
        <w:widowControl/>
        <w:numPr>
          <w:ilvl w:val="0"/>
          <w:numId w:val="0"/>
        </w:numPr>
        <w:spacing w:line="570" w:lineRule="exact"/>
        <w:ind w:firstLine="600" w:firstLineChars="200"/>
        <w:jc w:val="left"/>
        <w:rPr>
          <w:rFonts w:hint="eastAsia" w:ascii="仿宋_GB2312" w:hAnsi="仿宋_GB2312" w:eastAsia="仿宋_GB2312"/>
          <w:color w:val="auto"/>
          <w:sz w:val="30"/>
          <w:szCs w:val="30"/>
          <w:shd w:val="clear" w:color="auto" w:fill="FFFFFF"/>
          <w:lang w:val="en-US" w:eastAsia="zh-CN"/>
        </w:rPr>
      </w:pPr>
      <w:r>
        <w:rPr>
          <w:rFonts w:hint="eastAsia" w:ascii="仿宋_GB2312" w:hAnsi="仿宋_GB2312" w:eastAsia="仿宋_GB2312"/>
          <w:color w:val="auto"/>
          <w:sz w:val="30"/>
          <w:szCs w:val="30"/>
          <w:shd w:val="clear" w:color="auto" w:fill="FFFFFF"/>
          <w:lang w:val="en-US" w:eastAsia="zh-CN"/>
        </w:rPr>
        <w:t>备注：具体会议内容以实际安排为准。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6C2EA2"/>
    <w:multiLevelType w:val="singleLevel"/>
    <w:tmpl w:val="F66C2EA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F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Administrator.SDWM-20170920EG</dc:creator>
  <cp:lastModifiedBy>Reconcile with oneself</cp:lastModifiedBy>
  <dcterms:modified xsi:type="dcterms:W3CDTF">2020-06-01T09:50:55Z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